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36" w:rsidRPr="007D4292" w:rsidRDefault="001E6636" w:rsidP="007D4292">
      <w:pPr>
        <w:autoSpaceDE w:val="0"/>
        <w:autoSpaceDN w:val="0"/>
        <w:adjustRightInd w:val="0"/>
        <w:spacing w:after="0" w:line="240" w:lineRule="auto"/>
        <w:contextualSpacing/>
        <w:rPr>
          <w:rFonts w:ascii="Times New Roman" w:hAnsi="Times New Roman"/>
          <w:sz w:val="24"/>
          <w:szCs w:val="24"/>
          <w:lang w:eastAsia="en-US"/>
        </w:rPr>
      </w:pPr>
    </w:p>
    <w:tbl>
      <w:tblPr>
        <w:tblW w:w="0" w:type="auto"/>
        <w:tblInd w:w="108" w:type="dxa"/>
        <w:tblBorders>
          <w:bottom w:val="single" w:sz="12" w:space="0" w:color="auto"/>
          <w:insideH w:val="single" w:sz="18" w:space="0" w:color="auto"/>
        </w:tblBorders>
        <w:tblLook w:val="00A0"/>
      </w:tblPr>
      <w:tblGrid>
        <w:gridCol w:w="4678"/>
        <w:gridCol w:w="4678"/>
      </w:tblGrid>
      <w:tr w:rsidR="001E6636" w:rsidRPr="00CF703B" w:rsidTr="00D27E0A">
        <w:tc>
          <w:tcPr>
            <w:tcW w:w="4678" w:type="dxa"/>
            <w:tcBorders>
              <w:top w:val="nil"/>
              <w:left w:val="nil"/>
              <w:bottom w:val="single" w:sz="12" w:space="0" w:color="auto"/>
              <w:right w:val="nil"/>
            </w:tcBorders>
          </w:tcPr>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28"/>
                <w:szCs w:val="28"/>
                <w:lang w:eastAsia="en-US"/>
              </w:rPr>
            </w:pPr>
            <w:r w:rsidRPr="007D4292">
              <w:rPr>
                <w:rFonts w:ascii="Times New Roman" w:eastAsia="SimSun" w:hAnsi="Times New Roman"/>
                <w:b/>
                <w:sz w:val="26"/>
                <w:szCs w:val="26"/>
                <w:lang w:eastAsia="ru-RU"/>
              </w:rPr>
              <w:t>Organizaţia de Creditare Nebancară</w:t>
            </w:r>
          </w:p>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28"/>
                <w:szCs w:val="28"/>
                <w:lang w:eastAsia="en-US"/>
              </w:rPr>
            </w:pPr>
            <w:r w:rsidRPr="007D4292">
              <w:rPr>
                <w:rFonts w:ascii="Times New Roman" w:eastAsia="SimSun" w:hAnsi="Times New Roman"/>
                <w:b/>
                <w:bCs/>
                <w:sz w:val="34"/>
                <w:szCs w:val="34"/>
                <w:lang w:eastAsia="en-US"/>
              </w:rPr>
              <w:tab/>
              <w:t>„Credit Nobil” SRL</w:t>
            </w:r>
            <w:r w:rsidRPr="007D4292">
              <w:rPr>
                <w:rFonts w:ascii="Times New Roman" w:eastAsia="SimSun" w:hAnsi="Times New Roman"/>
                <w:b/>
                <w:bCs/>
                <w:sz w:val="34"/>
                <w:szCs w:val="34"/>
                <w:lang w:eastAsia="en-US"/>
              </w:rPr>
              <w:tab/>
            </w:r>
          </w:p>
        </w:tc>
        <w:tc>
          <w:tcPr>
            <w:tcW w:w="4678" w:type="dxa"/>
            <w:tcBorders>
              <w:top w:val="nil"/>
              <w:left w:val="nil"/>
              <w:bottom w:val="single" w:sz="12" w:space="0" w:color="auto"/>
              <w:right w:val="nil"/>
            </w:tcBorders>
          </w:tcPr>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34"/>
                <w:szCs w:val="34"/>
                <w:lang w:eastAsia="en-US"/>
              </w:rPr>
            </w:pPr>
            <w:r w:rsidRPr="007D4292">
              <w:rPr>
                <w:rFonts w:ascii="Times New Roman" w:eastAsia="SimSun" w:hAnsi="Times New Roman"/>
                <w:b/>
                <w:sz w:val="24"/>
                <w:szCs w:val="20"/>
                <w:lang w:val="ru-RU" w:eastAsia="ru-RU"/>
              </w:rPr>
              <w:t>Небанковская Кредитная Организация</w:t>
            </w:r>
            <w:r w:rsidRPr="007D4292">
              <w:rPr>
                <w:rFonts w:ascii="Times New Roman" w:eastAsia="SimSun" w:hAnsi="Times New Roman"/>
                <w:b/>
                <w:bCs/>
                <w:sz w:val="34"/>
                <w:szCs w:val="34"/>
                <w:lang w:val="ru-RU" w:eastAsia="en-US"/>
              </w:rPr>
              <w:t xml:space="preserve"> </w:t>
            </w:r>
            <w:r w:rsidRPr="007D4292">
              <w:rPr>
                <w:rFonts w:ascii="Times New Roman" w:eastAsia="SimSun" w:hAnsi="Times New Roman"/>
                <w:b/>
                <w:bCs/>
                <w:sz w:val="34"/>
                <w:szCs w:val="34"/>
                <w:lang w:eastAsia="en-US"/>
              </w:rPr>
              <w:t>„Credit Nobil” SRL</w:t>
            </w:r>
          </w:p>
        </w:tc>
      </w:tr>
      <w:tr w:rsidR="001E6636" w:rsidRPr="00CF703B" w:rsidTr="00D27E0A">
        <w:tc>
          <w:tcPr>
            <w:tcW w:w="4678" w:type="dxa"/>
            <w:tcBorders>
              <w:top w:val="single" w:sz="12" w:space="0" w:color="auto"/>
              <w:left w:val="nil"/>
              <w:bottom w:val="single" w:sz="12" w:space="0" w:color="auto"/>
              <w:right w:val="nil"/>
            </w:tcBorders>
          </w:tcPr>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8"/>
                <w:szCs w:val="18"/>
                <w:lang w:eastAsia="en-US"/>
              </w:rPr>
            </w:pPr>
            <w:r w:rsidRPr="007D4292">
              <w:rPr>
                <w:rFonts w:ascii="Times New Roman" w:eastAsia="SimSun" w:hAnsi="Times New Roman"/>
                <w:b/>
                <w:bCs/>
                <w:sz w:val="18"/>
                <w:szCs w:val="18"/>
                <w:lang w:eastAsia="en-US"/>
              </w:rPr>
              <w:t>Republica Moldova</w:t>
            </w:r>
          </w:p>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8"/>
                <w:szCs w:val="18"/>
                <w:lang w:eastAsia="en-US"/>
              </w:rPr>
            </w:pPr>
            <w:r w:rsidRPr="007D4292">
              <w:rPr>
                <w:rFonts w:ascii="Times New Roman" w:eastAsia="SimSun" w:hAnsi="Times New Roman"/>
                <w:b/>
                <w:bCs/>
                <w:sz w:val="18"/>
                <w:szCs w:val="18"/>
                <w:lang w:eastAsia="en-US"/>
              </w:rPr>
              <w:t>MD-2012, mun. Chişinău, str. Mitropolit Varlaam, 76</w:t>
            </w:r>
          </w:p>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6"/>
                <w:szCs w:val="16"/>
                <w:lang w:eastAsia="en-US"/>
              </w:rPr>
            </w:pPr>
            <w:r w:rsidRPr="007D4292">
              <w:rPr>
                <w:rFonts w:ascii="Times New Roman" w:eastAsia="SimSun" w:hAnsi="Times New Roman"/>
                <w:b/>
                <w:bCs/>
                <w:sz w:val="18"/>
                <w:szCs w:val="18"/>
                <w:lang w:eastAsia="en-US"/>
              </w:rPr>
              <w:t>Tel:(+37322) 22-11-66; Tel fax: (+37322) 27-34-94</w:t>
            </w:r>
          </w:p>
        </w:tc>
        <w:tc>
          <w:tcPr>
            <w:tcW w:w="4678" w:type="dxa"/>
            <w:tcBorders>
              <w:top w:val="single" w:sz="12" w:space="0" w:color="auto"/>
              <w:left w:val="nil"/>
              <w:bottom w:val="single" w:sz="12" w:space="0" w:color="auto"/>
              <w:right w:val="nil"/>
            </w:tcBorders>
          </w:tcPr>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8"/>
                <w:szCs w:val="18"/>
                <w:lang w:eastAsia="en-US"/>
              </w:rPr>
            </w:pPr>
            <w:r w:rsidRPr="007D4292">
              <w:rPr>
                <w:rFonts w:ascii="Times New Roman" w:eastAsia="SimSun" w:hAnsi="Times New Roman"/>
                <w:b/>
                <w:bCs/>
                <w:sz w:val="18"/>
                <w:szCs w:val="18"/>
                <w:lang w:eastAsia="en-US"/>
              </w:rPr>
              <w:t>Республика Молдова</w:t>
            </w:r>
          </w:p>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8"/>
                <w:szCs w:val="18"/>
                <w:lang w:eastAsia="en-US"/>
              </w:rPr>
            </w:pPr>
            <w:r w:rsidRPr="007D4292">
              <w:rPr>
                <w:rFonts w:ascii="Times New Roman" w:eastAsia="SimSun" w:hAnsi="Times New Roman"/>
                <w:b/>
                <w:bCs/>
                <w:sz w:val="18"/>
                <w:szCs w:val="18"/>
                <w:lang w:eastAsia="en-US"/>
              </w:rPr>
              <w:t>МД-2012, мун. Кишинев, ул. Митрополит Варлаам, 76</w:t>
            </w:r>
          </w:p>
          <w:p w:rsidR="001E6636" w:rsidRPr="007D4292" w:rsidRDefault="001E6636" w:rsidP="007D4292">
            <w:pPr>
              <w:widowControl w:val="0"/>
              <w:autoSpaceDE w:val="0"/>
              <w:autoSpaceDN w:val="0"/>
              <w:adjustRightInd w:val="0"/>
              <w:spacing w:after="0"/>
              <w:contextualSpacing/>
              <w:jc w:val="center"/>
              <w:rPr>
                <w:rFonts w:ascii="Times New Roman" w:eastAsia="SimSun" w:hAnsi="Times New Roman"/>
                <w:b/>
                <w:bCs/>
                <w:sz w:val="18"/>
                <w:szCs w:val="18"/>
                <w:lang w:eastAsia="en-US"/>
              </w:rPr>
            </w:pPr>
            <w:r w:rsidRPr="007D4292">
              <w:rPr>
                <w:rFonts w:ascii="Times New Roman" w:eastAsia="SimSun" w:hAnsi="Times New Roman"/>
                <w:b/>
                <w:bCs/>
                <w:sz w:val="18"/>
                <w:szCs w:val="18"/>
                <w:lang w:eastAsia="en-US"/>
              </w:rPr>
              <w:t>Tel: (+37322) 22-11-66; Tel fax: (+37322) 27-34-94</w:t>
            </w:r>
          </w:p>
        </w:tc>
      </w:tr>
    </w:tbl>
    <w:p w:rsidR="001E6636" w:rsidRDefault="001E6636">
      <w:pPr>
        <w:spacing w:after="160" w:line="259" w:lineRule="auto"/>
        <w:jc w:val="right"/>
        <w:rPr>
          <w:rFonts w:ascii="Times New Roman" w:hAnsi="Times New Roman"/>
          <w:b/>
          <w:sz w:val="28"/>
        </w:rPr>
      </w:pPr>
    </w:p>
    <w:p w:rsidR="001E6636" w:rsidRPr="00A04739" w:rsidRDefault="001E6636" w:rsidP="001E2058">
      <w:pPr>
        <w:spacing w:after="160" w:line="259" w:lineRule="auto"/>
        <w:rPr>
          <w:rFonts w:ascii="Times New Roman" w:hAnsi="Times New Roman"/>
          <w:sz w:val="24"/>
          <w:lang w:val="ru-RU"/>
        </w:rPr>
      </w:pPr>
      <w:r>
        <w:rPr>
          <w:rFonts w:ascii="Times New Roman" w:hAnsi="Times New Roman"/>
          <w:sz w:val="24"/>
        </w:rPr>
        <w:t xml:space="preserve">                                                                                                                                                                                                                                            </w:t>
      </w:r>
    </w:p>
    <w:p w:rsidR="001E6636" w:rsidRPr="00074D07" w:rsidRDefault="001E6636" w:rsidP="00074D07">
      <w:pPr>
        <w:widowControl w:val="0"/>
        <w:autoSpaceDE w:val="0"/>
        <w:autoSpaceDN w:val="0"/>
        <w:spacing w:before="1" w:after="0"/>
        <w:ind w:right="106"/>
        <w:jc w:val="right"/>
        <w:rPr>
          <w:rFonts w:ascii="Times New Roman" w:hAnsi="Times New Roman"/>
          <w:sz w:val="28"/>
          <w:szCs w:val="28"/>
          <w:lang w:eastAsia="en-US"/>
        </w:rPr>
      </w:pPr>
      <w:r w:rsidRPr="0008162A">
        <w:rPr>
          <w:rFonts w:ascii="Times New Roman" w:hAnsi="Times New Roman"/>
          <w:sz w:val="24"/>
          <w:lang w:val="ru-RU"/>
        </w:rPr>
        <w:t xml:space="preserve">                                                                                                        </w:t>
      </w:r>
      <w:r>
        <w:rPr>
          <w:rFonts w:ascii="Times New Roman" w:hAnsi="Times New Roman"/>
          <w:sz w:val="24"/>
        </w:rPr>
        <w:t xml:space="preserve">        </w:t>
      </w:r>
      <w:r w:rsidRPr="0008162A">
        <w:rPr>
          <w:rFonts w:ascii="Times New Roman" w:hAnsi="Times New Roman"/>
          <w:sz w:val="24"/>
          <w:lang w:val="ru-RU"/>
        </w:rPr>
        <w:t xml:space="preserve">  </w:t>
      </w:r>
      <w:r w:rsidRPr="00074D07">
        <w:rPr>
          <w:rFonts w:ascii="Times New Roman" w:hAnsi="Times New Roman"/>
          <w:sz w:val="28"/>
          <w:szCs w:val="28"/>
          <w:lang w:eastAsia="en-US"/>
        </w:rPr>
        <w:t>APROBAT:</w:t>
      </w:r>
    </w:p>
    <w:p w:rsidR="001E6636" w:rsidRPr="00074D07" w:rsidRDefault="001E6636" w:rsidP="00074D07">
      <w:pPr>
        <w:widowControl w:val="0"/>
        <w:autoSpaceDE w:val="0"/>
        <w:autoSpaceDN w:val="0"/>
        <w:spacing w:before="1" w:after="0" w:line="240" w:lineRule="auto"/>
        <w:ind w:left="4739" w:right="99"/>
        <w:jc w:val="right"/>
        <w:rPr>
          <w:rFonts w:ascii="Times New Roman" w:hAnsi="Times New Roman"/>
          <w:sz w:val="28"/>
          <w:szCs w:val="28"/>
          <w:lang w:eastAsia="en-US"/>
        </w:rPr>
      </w:pPr>
      <w:r w:rsidRPr="00074D07">
        <w:rPr>
          <w:rFonts w:ascii="Times New Roman" w:hAnsi="Times New Roman"/>
          <w:sz w:val="28"/>
          <w:szCs w:val="28"/>
          <w:lang w:eastAsia="en-US"/>
        </w:rPr>
        <w:t>prin Procesul-verbal nr.</w:t>
      </w:r>
      <w:r>
        <w:rPr>
          <w:rFonts w:ascii="Times New Roman" w:hAnsi="Times New Roman"/>
          <w:sz w:val="28"/>
          <w:szCs w:val="28"/>
          <w:lang w:eastAsia="en-US"/>
        </w:rPr>
        <w:t>25</w:t>
      </w:r>
      <w:r w:rsidRPr="00074D07">
        <w:rPr>
          <w:rFonts w:ascii="Times New Roman" w:hAnsi="Times New Roman"/>
          <w:sz w:val="28"/>
          <w:szCs w:val="28"/>
          <w:lang w:eastAsia="en-US"/>
        </w:rPr>
        <w:t xml:space="preserve"> </w:t>
      </w:r>
    </w:p>
    <w:p w:rsidR="001E6636" w:rsidRPr="00074D07" w:rsidRDefault="001E6636" w:rsidP="00074D07">
      <w:pPr>
        <w:widowControl w:val="0"/>
        <w:autoSpaceDE w:val="0"/>
        <w:autoSpaceDN w:val="0"/>
        <w:spacing w:before="1" w:after="0" w:line="240" w:lineRule="auto"/>
        <w:ind w:left="4739" w:right="99"/>
        <w:jc w:val="right"/>
        <w:rPr>
          <w:rFonts w:ascii="Times New Roman" w:hAnsi="Times New Roman"/>
          <w:sz w:val="28"/>
          <w:szCs w:val="28"/>
          <w:lang w:eastAsia="en-US"/>
        </w:rPr>
      </w:pPr>
      <w:r w:rsidRPr="00074D07">
        <w:rPr>
          <w:rFonts w:ascii="Times New Roman" w:hAnsi="Times New Roman"/>
          <w:sz w:val="28"/>
          <w:szCs w:val="28"/>
          <w:lang w:eastAsia="en-US"/>
        </w:rPr>
        <w:t xml:space="preserve">al adunării generale al asociaților </w:t>
      </w:r>
    </w:p>
    <w:p w:rsidR="001E6636" w:rsidRPr="00074D07" w:rsidRDefault="001E6636" w:rsidP="00074D07">
      <w:pPr>
        <w:widowControl w:val="0"/>
        <w:autoSpaceDE w:val="0"/>
        <w:autoSpaceDN w:val="0"/>
        <w:spacing w:before="1" w:after="0" w:line="240" w:lineRule="auto"/>
        <w:ind w:left="4739" w:right="99"/>
        <w:jc w:val="right"/>
        <w:rPr>
          <w:rFonts w:ascii="Times New Roman" w:hAnsi="Times New Roman"/>
          <w:spacing w:val="-1"/>
          <w:sz w:val="28"/>
          <w:szCs w:val="28"/>
          <w:lang w:eastAsia="en-US"/>
        </w:rPr>
      </w:pPr>
      <w:r w:rsidRPr="00074D07">
        <w:rPr>
          <w:rFonts w:ascii="Times New Roman" w:hAnsi="Times New Roman"/>
          <w:sz w:val="28"/>
          <w:szCs w:val="28"/>
          <w:lang w:eastAsia="en-US"/>
        </w:rPr>
        <w:t>OCN</w:t>
      </w:r>
      <w:r w:rsidRPr="00074D07">
        <w:rPr>
          <w:rFonts w:ascii="Times New Roman" w:hAnsi="Times New Roman"/>
          <w:spacing w:val="-4"/>
          <w:sz w:val="28"/>
          <w:szCs w:val="28"/>
          <w:lang w:eastAsia="en-US"/>
        </w:rPr>
        <w:t xml:space="preserve"> </w:t>
      </w:r>
      <w:r w:rsidRPr="00074D07">
        <w:rPr>
          <w:rFonts w:ascii="Times New Roman" w:hAnsi="Times New Roman"/>
          <w:sz w:val="28"/>
          <w:szCs w:val="28"/>
          <w:lang w:eastAsia="en-US"/>
        </w:rPr>
        <w:t>„Credit Nobil”</w:t>
      </w:r>
      <w:r w:rsidRPr="00074D07">
        <w:rPr>
          <w:rFonts w:ascii="Times New Roman" w:hAnsi="Times New Roman"/>
          <w:spacing w:val="-2"/>
          <w:sz w:val="28"/>
          <w:szCs w:val="28"/>
          <w:lang w:eastAsia="en-US"/>
        </w:rPr>
        <w:t xml:space="preserve"> </w:t>
      </w:r>
      <w:r w:rsidRPr="00074D07">
        <w:rPr>
          <w:rFonts w:ascii="Times New Roman" w:hAnsi="Times New Roman"/>
          <w:sz w:val="28"/>
          <w:szCs w:val="28"/>
          <w:lang w:eastAsia="en-US"/>
        </w:rPr>
        <w:t>SRL</w:t>
      </w:r>
      <w:r w:rsidRPr="00074D07">
        <w:rPr>
          <w:rFonts w:ascii="Times New Roman" w:hAnsi="Times New Roman"/>
          <w:spacing w:val="-1"/>
          <w:sz w:val="28"/>
          <w:szCs w:val="28"/>
          <w:lang w:eastAsia="en-US"/>
        </w:rPr>
        <w:t xml:space="preserve"> </w:t>
      </w:r>
    </w:p>
    <w:p w:rsidR="001E6636" w:rsidRPr="00124454" w:rsidRDefault="001E6636" w:rsidP="00074D07">
      <w:pPr>
        <w:spacing w:line="240" w:lineRule="atLeast"/>
        <w:rPr>
          <w:rFonts w:ascii="Times New Roman" w:hAnsi="Times New Roman"/>
          <w:sz w:val="24"/>
          <w:lang w:val="en-US"/>
        </w:rPr>
      </w:pPr>
      <w:r>
        <w:rPr>
          <w:rFonts w:ascii="Times New Roman" w:hAnsi="Times New Roman"/>
          <w:sz w:val="28"/>
          <w:szCs w:val="28"/>
          <w:lang w:eastAsia="en-US"/>
        </w:rPr>
        <w:t xml:space="preserve">                                                                                            din15.03.2021</w:t>
      </w:r>
    </w:p>
    <w:p w:rsidR="001E6636" w:rsidRDefault="001E6636">
      <w:pPr>
        <w:spacing w:after="160" w:line="259" w:lineRule="auto"/>
        <w:jc w:val="right"/>
        <w:rPr>
          <w:rFonts w:ascii="Times New Roman" w:hAnsi="Times New Roman"/>
          <w:sz w:val="24"/>
        </w:rPr>
      </w:pPr>
    </w:p>
    <w:p w:rsidR="001E6636" w:rsidRDefault="001E6636">
      <w:pPr>
        <w:spacing w:after="160" w:line="259" w:lineRule="auto"/>
        <w:jc w:val="right"/>
        <w:rPr>
          <w:rFonts w:ascii="Times New Roman" w:hAnsi="Times New Roman"/>
          <w:sz w:val="24"/>
        </w:rPr>
      </w:pPr>
    </w:p>
    <w:p w:rsidR="001E6636" w:rsidRDefault="001E6636">
      <w:pPr>
        <w:spacing w:after="160" w:line="259" w:lineRule="auto"/>
        <w:jc w:val="center"/>
        <w:rPr>
          <w:rFonts w:ascii="Times New Roman" w:hAnsi="Times New Roman"/>
          <w:b/>
          <w:sz w:val="24"/>
        </w:rPr>
      </w:pPr>
    </w:p>
    <w:p w:rsidR="001E6636" w:rsidRPr="002E686B" w:rsidRDefault="001E6636">
      <w:pPr>
        <w:spacing w:after="160" w:line="259" w:lineRule="auto"/>
        <w:jc w:val="center"/>
        <w:rPr>
          <w:rFonts w:ascii="Times New Roman" w:hAnsi="Times New Roman"/>
          <w:sz w:val="32"/>
          <w:szCs w:val="32"/>
        </w:rPr>
      </w:pPr>
      <w:r w:rsidRPr="002E686B">
        <w:rPr>
          <w:rFonts w:ascii="Times New Roman" w:hAnsi="Times New Roman"/>
          <w:b/>
          <w:sz w:val="32"/>
          <w:szCs w:val="32"/>
        </w:rPr>
        <w:t>REGULAMENT</w:t>
      </w:r>
    </w:p>
    <w:p w:rsidR="001E6636" w:rsidRPr="002E686B" w:rsidRDefault="001E6636">
      <w:pPr>
        <w:spacing w:after="160" w:line="259" w:lineRule="auto"/>
        <w:jc w:val="center"/>
        <w:rPr>
          <w:rFonts w:ascii="Times New Roman" w:hAnsi="Times New Roman"/>
          <w:b/>
          <w:sz w:val="28"/>
          <w:szCs w:val="28"/>
        </w:rPr>
      </w:pPr>
      <w:r w:rsidRPr="002E686B">
        <w:rPr>
          <w:rFonts w:ascii="Times New Roman" w:hAnsi="Times New Roman"/>
          <w:b/>
          <w:sz w:val="28"/>
          <w:szCs w:val="28"/>
        </w:rPr>
        <w:t>cu privire la modalitatea de examinare a petiţiilor de către</w:t>
      </w:r>
    </w:p>
    <w:p w:rsidR="001E6636" w:rsidRPr="002E686B" w:rsidRDefault="001E6636">
      <w:pPr>
        <w:spacing w:after="160" w:line="259" w:lineRule="auto"/>
        <w:jc w:val="center"/>
        <w:rPr>
          <w:rFonts w:ascii="Times New Roman" w:hAnsi="Times New Roman"/>
          <w:b/>
          <w:sz w:val="28"/>
          <w:szCs w:val="28"/>
        </w:rPr>
      </w:pPr>
      <w:r w:rsidRPr="002E686B">
        <w:rPr>
          <w:rFonts w:ascii="Times New Roman" w:hAnsi="Times New Roman"/>
          <w:b/>
          <w:sz w:val="28"/>
          <w:szCs w:val="28"/>
        </w:rPr>
        <w:t>participanţii profesionişti la piaţa financiară nebancară</w:t>
      </w: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rsidP="00650F8F">
      <w:pPr>
        <w:spacing w:after="160" w:line="259" w:lineRule="auto"/>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b/>
          <w:sz w:val="24"/>
        </w:rPr>
      </w:pPr>
    </w:p>
    <w:p w:rsidR="001E6636" w:rsidRDefault="001E6636" w:rsidP="00F64B61">
      <w:pPr>
        <w:spacing w:after="160" w:line="259" w:lineRule="auto"/>
        <w:rPr>
          <w:rFonts w:ascii="Times New Roman" w:hAnsi="Times New Roman"/>
          <w:b/>
          <w:sz w:val="24"/>
        </w:rPr>
      </w:pPr>
    </w:p>
    <w:p w:rsidR="001E6636" w:rsidRDefault="001E6636" w:rsidP="007D4292">
      <w:pPr>
        <w:spacing w:after="160" w:line="259" w:lineRule="auto"/>
        <w:jc w:val="center"/>
        <w:rPr>
          <w:rFonts w:ascii="Times New Roman" w:hAnsi="Times New Roman"/>
          <w:b/>
          <w:sz w:val="24"/>
        </w:rPr>
      </w:pPr>
    </w:p>
    <w:p w:rsidR="001E6636" w:rsidRDefault="001E6636" w:rsidP="007D4292">
      <w:pPr>
        <w:spacing w:after="160" w:line="259" w:lineRule="auto"/>
        <w:jc w:val="center"/>
        <w:rPr>
          <w:rFonts w:ascii="Times New Roman" w:hAnsi="Times New Roman"/>
          <w:b/>
          <w:sz w:val="24"/>
        </w:rPr>
      </w:pPr>
    </w:p>
    <w:p w:rsidR="001E6636" w:rsidRDefault="001E6636" w:rsidP="007D4292">
      <w:pPr>
        <w:spacing w:after="160" w:line="259" w:lineRule="auto"/>
        <w:jc w:val="center"/>
        <w:rPr>
          <w:rFonts w:ascii="Times New Roman" w:hAnsi="Times New Roman"/>
          <w:b/>
          <w:sz w:val="24"/>
        </w:rPr>
      </w:pPr>
    </w:p>
    <w:p w:rsidR="001E6636" w:rsidRDefault="001E6636" w:rsidP="007D4292">
      <w:pPr>
        <w:spacing w:after="160" w:line="259" w:lineRule="auto"/>
        <w:jc w:val="center"/>
        <w:rPr>
          <w:rFonts w:ascii="Times New Roman" w:hAnsi="Times New Roman"/>
          <w:b/>
          <w:sz w:val="24"/>
        </w:rPr>
      </w:pPr>
    </w:p>
    <w:p w:rsidR="001E6636" w:rsidRDefault="001E6636" w:rsidP="007D4292">
      <w:pPr>
        <w:spacing w:after="160" w:line="259" w:lineRule="auto"/>
        <w:jc w:val="center"/>
        <w:rPr>
          <w:rFonts w:ascii="Times New Roman" w:hAnsi="Times New Roman"/>
          <w:b/>
          <w:sz w:val="24"/>
        </w:rPr>
      </w:pPr>
      <w:bookmarkStart w:id="0" w:name="_GoBack"/>
      <w:bookmarkEnd w:id="0"/>
    </w:p>
    <w:p w:rsidR="001E6636" w:rsidRDefault="001E6636" w:rsidP="007D4292">
      <w:pPr>
        <w:spacing w:after="160" w:line="259" w:lineRule="auto"/>
        <w:jc w:val="center"/>
        <w:rPr>
          <w:rFonts w:ascii="Times New Roman" w:hAnsi="Times New Roman"/>
          <w:b/>
          <w:sz w:val="24"/>
        </w:rPr>
      </w:pPr>
      <w:r>
        <w:rPr>
          <w:rFonts w:ascii="Times New Roman" w:hAnsi="Times New Roman"/>
          <w:b/>
          <w:sz w:val="24"/>
        </w:rPr>
        <w:t>Chișinău 2021</w:t>
      </w:r>
    </w:p>
    <w:p w:rsidR="001E6636" w:rsidRDefault="001E6636">
      <w:pPr>
        <w:spacing w:after="160" w:line="259" w:lineRule="auto"/>
        <w:jc w:val="center"/>
        <w:rPr>
          <w:rFonts w:ascii="Times New Roman" w:hAnsi="Times New Roman"/>
          <w:b/>
          <w:sz w:val="24"/>
        </w:rPr>
      </w:pPr>
      <w:r>
        <w:rPr>
          <w:rFonts w:ascii="Times New Roman" w:hAnsi="Times New Roman"/>
          <w:b/>
          <w:sz w:val="24"/>
        </w:rPr>
        <w:t>I. DISPOZIŢII GENERALE</w:t>
      </w:r>
    </w:p>
    <w:p w:rsidR="001E6636" w:rsidRDefault="001E6636">
      <w:pPr>
        <w:spacing w:after="160" w:line="259" w:lineRule="auto"/>
        <w:jc w:val="both"/>
        <w:rPr>
          <w:rFonts w:ascii="Times New Roman" w:hAnsi="Times New Roman"/>
          <w:sz w:val="24"/>
        </w:rPr>
      </w:pPr>
      <w:r>
        <w:rPr>
          <w:rFonts w:ascii="Times New Roman" w:hAnsi="Times New Roman"/>
          <w:sz w:val="24"/>
        </w:rPr>
        <w:t>1. Prezentul Regulament este elaborat în conformitate cu prevederile Legii nr.190-XIII din 19.07.1994 “Cu privire la petiţionare” şi stabileşte modalitatea de examinare a petiţiilor parvenite din partea persoanelor fizice şi/sau juridice în adresa participanţilor profesionişti la piaţa financiară nebancară.</w:t>
      </w:r>
    </w:p>
    <w:p w:rsidR="001E6636" w:rsidRDefault="001E6636">
      <w:pPr>
        <w:spacing w:after="160" w:line="259" w:lineRule="auto"/>
        <w:jc w:val="both"/>
        <w:rPr>
          <w:rFonts w:ascii="Times New Roman" w:hAnsi="Times New Roman"/>
          <w:sz w:val="24"/>
        </w:rPr>
      </w:pPr>
      <w:r>
        <w:rPr>
          <w:rFonts w:ascii="Times New Roman" w:hAnsi="Times New Roman"/>
          <w:sz w:val="24"/>
        </w:rPr>
        <w:t>2. În sensul prezentului Regulament se utilizează următoarele noţiuni:</w:t>
      </w:r>
    </w:p>
    <w:p w:rsidR="001E6636" w:rsidRDefault="001E6636">
      <w:pPr>
        <w:spacing w:after="160" w:line="259" w:lineRule="auto"/>
        <w:jc w:val="both"/>
        <w:rPr>
          <w:rFonts w:ascii="Times New Roman" w:hAnsi="Times New Roman"/>
          <w:sz w:val="24"/>
        </w:rPr>
      </w:pPr>
      <w:r>
        <w:rPr>
          <w:rFonts w:ascii="Times New Roman" w:hAnsi="Times New Roman"/>
          <w:sz w:val="24"/>
        </w:rPr>
        <w:t>1) Petiţie – o expunere scrisă adresată de o persoană sau de un grup de persoane unui participant profesionist la piaţa financiară nebancară, în care se formulează o cerere, o revendicare, un punct de vedere, se contestă activitatea sau actele participantului profesionist sau nesoluţionarea în termenul stabilit a unei cereri de către acesta.</w:t>
      </w:r>
    </w:p>
    <w:p w:rsidR="001E6636" w:rsidRDefault="001E6636">
      <w:pPr>
        <w:spacing w:after="160" w:line="259" w:lineRule="auto"/>
        <w:jc w:val="both"/>
        <w:rPr>
          <w:rFonts w:ascii="Times New Roman" w:hAnsi="Times New Roman"/>
          <w:sz w:val="24"/>
        </w:rPr>
      </w:pPr>
      <w:r>
        <w:rPr>
          <w:rFonts w:ascii="Times New Roman" w:hAnsi="Times New Roman"/>
          <w:sz w:val="24"/>
        </w:rPr>
        <w:t>2) Participanţi profesionişti la piaţa financiară nebancară (în continuare – participanţi profesionişti) – persoane juridice ce desfăşoară activităţi profesioniste pe piaţa valorilor mobiliare şi  piaţa asigurărilor, fonduri nestatale de pensii, asociaţii de economii şi împrumut, organizaţii de microfinanţare, organizaţii de credit ipotecar, birouri ale istoriilor de credit.</w:t>
      </w:r>
    </w:p>
    <w:p w:rsidR="001E6636" w:rsidRDefault="001E6636">
      <w:pPr>
        <w:spacing w:after="160" w:line="259" w:lineRule="auto"/>
        <w:jc w:val="both"/>
        <w:rPr>
          <w:rFonts w:ascii="Times New Roman" w:hAnsi="Times New Roman"/>
          <w:sz w:val="24"/>
        </w:rPr>
      </w:pPr>
      <w:r>
        <w:rPr>
          <w:rFonts w:ascii="Times New Roman" w:hAnsi="Times New Roman"/>
          <w:sz w:val="24"/>
        </w:rPr>
        <w:t>3) Persoană responsabilă – angajatul participantului profesionist, desemnat pentru soluţionarea petiţiei şi/sau transmiterea acesteia cu concluzia sa spre examinare conducătorului participantului profesionist.</w:t>
      </w:r>
    </w:p>
    <w:p w:rsidR="001E6636" w:rsidRDefault="001E6636">
      <w:pPr>
        <w:spacing w:after="160" w:line="259" w:lineRule="auto"/>
        <w:jc w:val="both"/>
        <w:rPr>
          <w:rFonts w:ascii="Times New Roman" w:hAnsi="Times New Roman"/>
          <w:sz w:val="24"/>
        </w:rPr>
      </w:pPr>
      <w:r>
        <w:rPr>
          <w:rFonts w:ascii="Times New Roman" w:hAnsi="Times New Roman"/>
          <w:sz w:val="24"/>
        </w:rPr>
        <w:t>3. În procesul examinării petiţiei de către participantul profesionist, petiţionarul are următoarele drepturi:</w:t>
      </w:r>
    </w:p>
    <w:p w:rsidR="001E6636" w:rsidRDefault="001E6636">
      <w:pPr>
        <w:spacing w:after="160" w:line="259" w:lineRule="auto"/>
        <w:jc w:val="both"/>
        <w:rPr>
          <w:rFonts w:ascii="Times New Roman" w:hAnsi="Times New Roman"/>
          <w:sz w:val="24"/>
        </w:rPr>
      </w:pPr>
      <w:r>
        <w:rPr>
          <w:rFonts w:ascii="Times New Roman" w:hAnsi="Times New Roman"/>
          <w:sz w:val="24"/>
        </w:rPr>
        <w:t>1) să expună personal argumente persoanei responsabile;</w:t>
      </w:r>
    </w:p>
    <w:p w:rsidR="001E6636" w:rsidRDefault="001E6636">
      <w:pPr>
        <w:spacing w:after="160" w:line="259" w:lineRule="auto"/>
        <w:jc w:val="both"/>
        <w:rPr>
          <w:rFonts w:ascii="Times New Roman" w:hAnsi="Times New Roman"/>
          <w:sz w:val="24"/>
        </w:rPr>
      </w:pPr>
      <w:r>
        <w:rPr>
          <w:rFonts w:ascii="Times New Roman" w:hAnsi="Times New Roman"/>
          <w:sz w:val="24"/>
        </w:rPr>
        <w:t>2) să beneficieze de serviciile avocatului sau a specialistului desemnat de acesta;</w:t>
      </w:r>
    </w:p>
    <w:p w:rsidR="001E6636" w:rsidRDefault="001E6636">
      <w:pPr>
        <w:spacing w:after="160" w:line="259" w:lineRule="auto"/>
        <w:jc w:val="both"/>
        <w:rPr>
          <w:rFonts w:ascii="Times New Roman" w:hAnsi="Times New Roman"/>
          <w:sz w:val="24"/>
        </w:rPr>
      </w:pPr>
      <w:r>
        <w:rPr>
          <w:rFonts w:ascii="Times New Roman" w:hAnsi="Times New Roman"/>
          <w:sz w:val="24"/>
        </w:rPr>
        <w:t>3) să prezinte documente şi informaţii suplimentare persoanei responsabile;</w:t>
      </w:r>
    </w:p>
    <w:p w:rsidR="001E6636" w:rsidRDefault="001E6636">
      <w:pPr>
        <w:spacing w:after="160" w:line="259" w:lineRule="auto"/>
        <w:jc w:val="both"/>
        <w:rPr>
          <w:rFonts w:ascii="Times New Roman" w:hAnsi="Times New Roman"/>
          <w:sz w:val="24"/>
        </w:rPr>
      </w:pPr>
      <w:r>
        <w:rPr>
          <w:rFonts w:ascii="Times New Roman" w:hAnsi="Times New Roman"/>
          <w:sz w:val="24"/>
        </w:rPr>
        <w:t>4) să ia cunoştinţă de documentele şi informaţiile relevante pe marginea cazului pus în</w:t>
      </w:r>
    </w:p>
    <w:p w:rsidR="001E6636" w:rsidRDefault="001E6636">
      <w:pPr>
        <w:spacing w:after="160" w:line="259" w:lineRule="auto"/>
        <w:jc w:val="both"/>
        <w:rPr>
          <w:rFonts w:ascii="Times New Roman" w:hAnsi="Times New Roman"/>
          <w:sz w:val="24"/>
        </w:rPr>
      </w:pPr>
      <w:r>
        <w:rPr>
          <w:rFonts w:ascii="Times New Roman" w:hAnsi="Times New Roman"/>
          <w:sz w:val="24"/>
        </w:rPr>
        <w:t>examinare, dacă aceasta nu aduce atingere intereselor, drepturilor şi libertăţilor altor persoane şi dacă nu prezintă secret comercial sau alt secret protejat de lege;</w:t>
      </w:r>
    </w:p>
    <w:p w:rsidR="001E6636" w:rsidRDefault="001E6636">
      <w:pPr>
        <w:spacing w:after="160" w:line="259" w:lineRule="auto"/>
        <w:jc w:val="both"/>
        <w:rPr>
          <w:rFonts w:ascii="Times New Roman" w:hAnsi="Times New Roman"/>
          <w:sz w:val="24"/>
        </w:rPr>
      </w:pPr>
      <w:r>
        <w:rPr>
          <w:rFonts w:ascii="Times New Roman" w:hAnsi="Times New Roman"/>
          <w:sz w:val="24"/>
        </w:rPr>
        <w:t>5) să primească răspuns argumentat pe suport de hîrtie sau în formă electronică despre rezultatele examinării, reieşind din solicitarea sa;</w:t>
      </w:r>
    </w:p>
    <w:p w:rsidR="001E6636" w:rsidRDefault="001E6636">
      <w:pPr>
        <w:spacing w:after="160" w:line="259" w:lineRule="auto"/>
        <w:jc w:val="both"/>
        <w:rPr>
          <w:rFonts w:ascii="Times New Roman" w:hAnsi="Times New Roman"/>
          <w:sz w:val="24"/>
        </w:rPr>
      </w:pPr>
      <w:r>
        <w:rPr>
          <w:rFonts w:ascii="Times New Roman" w:hAnsi="Times New Roman"/>
          <w:sz w:val="24"/>
        </w:rPr>
        <w:t>6) să solicite suspendarea sau încetarea examinării petiţiei;</w:t>
      </w:r>
    </w:p>
    <w:p w:rsidR="001E6636" w:rsidRDefault="001E6636">
      <w:pPr>
        <w:spacing w:after="160" w:line="259" w:lineRule="auto"/>
        <w:jc w:val="both"/>
        <w:rPr>
          <w:rFonts w:ascii="Times New Roman" w:hAnsi="Times New Roman"/>
          <w:sz w:val="24"/>
        </w:rPr>
      </w:pPr>
      <w:r>
        <w:rPr>
          <w:rFonts w:ascii="Times New Roman" w:hAnsi="Times New Roman"/>
          <w:sz w:val="24"/>
        </w:rPr>
        <w:t>7) să solicite repararea prejudiciului în modul stabilit de legislaţie;</w:t>
      </w:r>
    </w:p>
    <w:p w:rsidR="001E6636" w:rsidRDefault="001E6636">
      <w:pPr>
        <w:spacing w:after="160" w:line="259" w:lineRule="auto"/>
        <w:jc w:val="both"/>
        <w:rPr>
          <w:rFonts w:ascii="Times New Roman" w:hAnsi="Times New Roman"/>
          <w:sz w:val="24"/>
        </w:rPr>
      </w:pPr>
      <w:r>
        <w:rPr>
          <w:rFonts w:ascii="Times New Roman" w:hAnsi="Times New Roman"/>
          <w:sz w:val="24"/>
        </w:rPr>
        <w:t>8) să solicite aplicarea parafei de înregistrare atît pe originalul, cît şi pe copia petiţiei.</w:t>
      </w:r>
    </w:p>
    <w:p w:rsidR="001E6636" w:rsidRDefault="001E6636">
      <w:pPr>
        <w:spacing w:after="160" w:line="259" w:lineRule="auto"/>
        <w:jc w:val="both"/>
        <w:rPr>
          <w:rFonts w:ascii="Times New Roman" w:hAnsi="Times New Roman"/>
          <w:sz w:val="24"/>
        </w:rPr>
      </w:pPr>
      <w:r>
        <w:rPr>
          <w:rFonts w:ascii="Times New Roman" w:hAnsi="Times New Roman"/>
          <w:sz w:val="24"/>
        </w:rPr>
        <w:t>4. În scopul soluţionării cît mai operative şi eficiente a chestiunilor abordate în petiţie,</w:t>
      </w:r>
    </w:p>
    <w:p w:rsidR="001E6636" w:rsidRDefault="001E6636">
      <w:pPr>
        <w:spacing w:after="160" w:line="259" w:lineRule="auto"/>
        <w:jc w:val="both"/>
        <w:rPr>
          <w:rFonts w:ascii="Times New Roman" w:hAnsi="Times New Roman"/>
          <w:sz w:val="24"/>
        </w:rPr>
      </w:pPr>
      <w:r>
        <w:rPr>
          <w:rFonts w:ascii="Times New Roman" w:hAnsi="Times New Roman"/>
          <w:sz w:val="24"/>
        </w:rPr>
        <w:t>participantul profesionist poate invita petiţionarul la sediul său, solicitînd după caz explicaţii, comentarii şi materiale suplimentare.</w:t>
      </w:r>
    </w:p>
    <w:p w:rsidR="001E6636" w:rsidRDefault="001E6636">
      <w:pPr>
        <w:spacing w:after="160" w:line="259" w:lineRule="auto"/>
        <w:jc w:val="both"/>
        <w:rPr>
          <w:rFonts w:ascii="Times New Roman" w:hAnsi="Times New Roman"/>
          <w:sz w:val="24"/>
        </w:rPr>
      </w:pPr>
      <w:r>
        <w:rPr>
          <w:rFonts w:ascii="Times New Roman" w:hAnsi="Times New Roman"/>
          <w:sz w:val="24"/>
        </w:rPr>
        <w:t>5. Participantul profesionist este obligat să asigure confidenţialitatea datelor care fac obiectul petiţiei, precum şi a datelor cu caracter personal reglementate prin Legea nr.133 din 8 iulie 2011 “Privind protecţia datelor cu caracter personal”.</w:t>
      </w:r>
    </w:p>
    <w:p w:rsidR="001E6636" w:rsidRDefault="001E6636">
      <w:pPr>
        <w:spacing w:after="160" w:line="259" w:lineRule="auto"/>
        <w:jc w:val="center"/>
        <w:rPr>
          <w:rFonts w:ascii="Times New Roman" w:hAnsi="Times New Roman"/>
          <w:b/>
          <w:sz w:val="24"/>
        </w:rPr>
      </w:pPr>
      <w:r>
        <w:rPr>
          <w:rFonts w:ascii="Times New Roman" w:hAnsi="Times New Roman"/>
          <w:b/>
          <w:sz w:val="24"/>
        </w:rPr>
        <w:t>II. PREZENTAREA PETIŢIILOR</w:t>
      </w:r>
    </w:p>
    <w:p w:rsidR="001E6636" w:rsidRDefault="001E6636">
      <w:pPr>
        <w:spacing w:after="160" w:line="259" w:lineRule="auto"/>
        <w:jc w:val="both"/>
        <w:rPr>
          <w:rFonts w:ascii="Times New Roman" w:hAnsi="Times New Roman"/>
          <w:sz w:val="24"/>
        </w:rPr>
      </w:pPr>
      <w:r>
        <w:rPr>
          <w:rFonts w:ascii="Times New Roman" w:hAnsi="Times New Roman"/>
          <w:sz w:val="24"/>
        </w:rPr>
        <w:t>6. Petiţiile pot fi prezentate personal, prin curier, ori expediate prin poştă la adresa participantului profesionist, pe adresa electronică a participantului profesionist sau prin fax şi urmează a fi înregistrate în mod obligatoriu de către acesta.</w:t>
      </w:r>
    </w:p>
    <w:p w:rsidR="001E6636" w:rsidRDefault="001E6636">
      <w:pPr>
        <w:spacing w:after="160" w:line="259" w:lineRule="auto"/>
        <w:jc w:val="both"/>
        <w:rPr>
          <w:rFonts w:ascii="Times New Roman" w:hAnsi="Times New Roman"/>
          <w:sz w:val="24"/>
        </w:rPr>
      </w:pPr>
      <w:r>
        <w:rPr>
          <w:rFonts w:ascii="Times New Roman" w:hAnsi="Times New Roman"/>
          <w:sz w:val="24"/>
        </w:rPr>
        <w:t>7. Petiţia se depune pe suport de hîrtie sau în formă electronică în limba de stat sau într-o altă limbă în conformitate cu legislaţia.</w:t>
      </w:r>
    </w:p>
    <w:p w:rsidR="001E6636" w:rsidRDefault="001E6636">
      <w:pPr>
        <w:spacing w:after="160" w:line="259" w:lineRule="auto"/>
        <w:jc w:val="both"/>
        <w:rPr>
          <w:rFonts w:ascii="Times New Roman" w:hAnsi="Times New Roman"/>
          <w:sz w:val="24"/>
        </w:rPr>
      </w:pPr>
      <w:r>
        <w:rPr>
          <w:rFonts w:ascii="Times New Roman" w:hAnsi="Times New Roman"/>
          <w:sz w:val="24"/>
        </w:rPr>
        <w:t>8. Petiţiile trebuie să fie semnate de autor, indicîndu-se numele, prenumele şi domiciliul şi alte date pentru identificarea petiţionarului.</w:t>
      </w:r>
    </w:p>
    <w:p w:rsidR="001E6636" w:rsidRDefault="001E6636">
      <w:pPr>
        <w:spacing w:after="160" w:line="259" w:lineRule="auto"/>
        <w:jc w:val="both"/>
        <w:rPr>
          <w:rFonts w:ascii="Times New Roman" w:hAnsi="Times New Roman"/>
          <w:sz w:val="24"/>
        </w:rPr>
      </w:pPr>
      <w:r>
        <w:rPr>
          <w:rFonts w:ascii="Times New Roman" w:hAnsi="Times New Roman"/>
          <w:sz w:val="24"/>
        </w:rPr>
        <w:t>9. Petiţia în formă electronică trebuie să corespundă cerinţelor faţă de documentul electronic, precum şi să conţină informaţii privind numele, prenumele, domiciliul şi adresa electronică a petiţionarului şi alte date de contact.</w:t>
      </w:r>
    </w:p>
    <w:p w:rsidR="001E6636" w:rsidRDefault="001E6636">
      <w:pPr>
        <w:spacing w:after="160" w:line="259" w:lineRule="auto"/>
        <w:jc w:val="both"/>
        <w:rPr>
          <w:rFonts w:ascii="Times New Roman" w:hAnsi="Times New Roman"/>
          <w:sz w:val="24"/>
        </w:rPr>
      </w:pPr>
      <w:r>
        <w:rPr>
          <w:rFonts w:ascii="Times New Roman" w:hAnsi="Times New Roman"/>
          <w:sz w:val="24"/>
        </w:rPr>
        <w:t>10. Petiţiile care nu corespund cerinţelor stabilite la pct.8 şi pct.9 se consideră anonime şi nu se examinează, cu excepţia petiţiilor ce conţin informaţii referitor la securitatea naţională sau ordinea publică, care se remit spre examinare organelor competente.</w:t>
      </w:r>
    </w:p>
    <w:p w:rsidR="001E6636" w:rsidRDefault="001E6636">
      <w:pPr>
        <w:spacing w:after="160" w:line="259" w:lineRule="auto"/>
        <w:jc w:val="both"/>
        <w:rPr>
          <w:rFonts w:ascii="Times New Roman" w:hAnsi="Times New Roman"/>
          <w:sz w:val="24"/>
        </w:rPr>
      </w:pPr>
      <w:r>
        <w:rPr>
          <w:rFonts w:ascii="Times New Roman" w:hAnsi="Times New Roman"/>
          <w:sz w:val="24"/>
        </w:rPr>
        <w:t>11. Petiţiile adresate repetat, care nu conţin argumente, date sau informaţii noi, nu se reexaminează, despre faptul dat urmînd a fi informat în scris sau în formă electronică petiţionarul.</w:t>
      </w:r>
    </w:p>
    <w:p w:rsidR="001E6636" w:rsidRDefault="001E6636">
      <w:pPr>
        <w:spacing w:after="160" w:line="259" w:lineRule="auto"/>
        <w:jc w:val="both"/>
        <w:rPr>
          <w:rFonts w:ascii="Times New Roman" w:hAnsi="Times New Roman"/>
          <w:sz w:val="24"/>
        </w:rPr>
      </w:pPr>
      <w:r>
        <w:rPr>
          <w:rFonts w:ascii="Times New Roman" w:hAnsi="Times New Roman"/>
          <w:sz w:val="24"/>
        </w:rPr>
        <w:t>12. În situaţia în care o persoană adresează în aceeaşi perioadă de timp mai multe petiţii cu acelaşi subiect, acestea se vor conexa, petiţionarul urmînd să primească un singur răspuns.</w:t>
      </w:r>
    </w:p>
    <w:p w:rsidR="001E6636" w:rsidRDefault="001E6636">
      <w:pPr>
        <w:spacing w:after="160" w:line="259" w:lineRule="auto"/>
        <w:jc w:val="both"/>
        <w:rPr>
          <w:rFonts w:ascii="Times New Roman" w:hAnsi="Times New Roman"/>
          <w:sz w:val="24"/>
        </w:rPr>
      </w:pPr>
      <w:r>
        <w:rPr>
          <w:rFonts w:ascii="Times New Roman" w:hAnsi="Times New Roman"/>
          <w:sz w:val="24"/>
        </w:rPr>
        <w:t>13. Dacă după expedierea răspunsului parvine o nouă petiţie cu acelaşi conţinut sau care se referă la aceeaşi problemă, aceasta se ataşează la petiţia iniţială, făcîndu-se menţiune că s-a răspuns şi se informează petiţionarul.</w:t>
      </w:r>
    </w:p>
    <w:p w:rsidR="001E6636" w:rsidRDefault="001E6636">
      <w:pPr>
        <w:spacing w:after="160" w:line="259" w:lineRule="auto"/>
        <w:jc w:val="both"/>
        <w:rPr>
          <w:rFonts w:ascii="Times New Roman" w:hAnsi="Times New Roman"/>
          <w:sz w:val="24"/>
        </w:rPr>
      </w:pPr>
      <w:r>
        <w:rPr>
          <w:rFonts w:ascii="Times New Roman" w:hAnsi="Times New Roman"/>
          <w:sz w:val="24"/>
        </w:rPr>
        <w:t xml:space="preserve">14. În cazul în care o petiţie este semnată de mai multe persoane fizice sau juridice, se va indica persoana căreia urmează să i se expedieze răspunsul. </w:t>
      </w:r>
    </w:p>
    <w:p w:rsidR="001E6636" w:rsidRDefault="001E6636">
      <w:pPr>
        <w:spacing w:after="160" w:line="259" w:lineRule="auto"/>
        <w:jc w:val="both"/>
        <w:rPr>
          <w:rFonts w:ascii="Times New Roman" w:hAnsi="Times New Roman"/>
          <w:sz w:val="24"/>
        </w:rPr>
      </w:pPr>
      <w:r>
        <w:rPr>
          <w:rFonts w:ascii="Times New Roman" w:hAnsi="Times New Roman"/>
          <w:sz w:val="24"/>
        </w:rPr>
        <w:t>15. În cazul parvenirii unor petiţii, textul cărora nu poate fi descifrat sau care nu conţin date suficiente pentru examinarea lor, în termen de 3 zile lucrătoare petiţionarul va fi înştiinţat despre acest fapt, solicitîndu-i-se concretizarea problemelor abordate.</w:t>
      </w:r>
    </w:p>
    <w:p w:rsidR="001E6636" w:rsidRDefault="001E6636">
      <w:pPr>
        <w:spacing w:after="160" w:line="259" w:lineRule="auto"/>
        <w:jc w:val="both"/>
        <w:rPr>
          <w:rFonts w:ascii="Times New Roman" w:hAnsi="Times New Roman"/>
          <w:sz w:val="24"/>
        </w:rPr>
      </w:pPr>
      <w:r>
        <w:rPr>
          <w:rFonts w:ascii="Times New Roman" w:hAnsi="Times New Roman"/>
          <w:sz w:val="24"/>
        </w:rPr>
        <w:t>16. În cazul în care o petiţie este adresată greşit, ea va fi remisă înapoi petiţionarului în termen de 3 zile lucrătoare.</w:t>
      </w:r>
    </w:p>
    <w:p w:rsidR="001E6636" w:rsidRDefault="001E6636">
      <w:pPr>
        <w:spacing w:after="160" w:line="259" w:lineRule="auto"/>
        <w:jc w:val="center"/>
        <w:rPr>
          <w:rFonts w:ascii="Times New Roman" w:hAnsi="Times New Roman"/>
          <w:b/>
          <w:sz w:val="24"/>
        </w:rPr>
      </w:pPr>
      <w:r>
        <w:rPr>
          <w:rFonts w:ascii="Times New Roman" w:hAnsi="Times New Roman"/>
          <w:b/>
          <w:sz w:val="24"/>
        </w:rPr>
        <w:t>III. ÎNREGISTRAREA PETIŢIILOR</w:t>
      </w:r>
    </w:p>
    <w:p w:rsidR="001E6636" w:rsidRDefault="001E6636">
      <w:pPr>
        <w:spacing w:after="160" w:line="259" w:lineRule="auto"/>
        <w:jc w:val="both"/>
        <w:rPr>
          <w:rFonts w:ascii="Times New Roman" w:hAnsi="Times New Roman"/>
          <w:sz w:val="24"/>
        </w:rPr>
      </w:pPr>
      <w:r>
        <w:rPr>
          <w:rFonts w:ascii="Times New Roman" w:hAnsi="Times New Roman"/>
          <w:sz w:val="24"/>
        </w:rPr>
        <w:t>17. Înregistrarea şi evidenţa petiţiilor se realizează prin intermediul angajatului desemnat de către conducătorul participantului profesionist.</w:t>
      </w:r>
    </w:p>
    <w:p w:rsidR="001E6636" w:rsidRDefault="001E6636">
      <w:pPr>
        <w:spacing w:after="160" w:line="259" w:lineRule="auto"/>
        <w:jc w:val="both"/>
        <w:rPr>
          <w:rFonts w:ascii="Times New Roman" w:hAnsi="Times New Roman"/>
          <w:sz w:val="24"/>
        </w:rPr>
      </w:pPr>
      <w:r>
        <w:rPr>
          <w:rFonts w:ascii="Times New Roman" w:hAnsi="Times New Roman"/>
          <w:sz w:val="24"/>
        </w:rPr>
        <w:t>18. La înregistrarea petiţiei, pe prima pagină a acesteia se aplică parafa de înregistrare, în care se indică data primirii şi numărul de înregistrare.</w:t>
      </w:r>
    </w:p>
    <w:p w:rsidR="001E6636" w:rsidRDefault="001E6636">
      <w:pPr>
        <w:spacing w:after="160" w:line="259" w:lineRule="auto"/>
        <w:jc w:val="both"/>
        <w:rPr>
          <w:rFonts w:ascii="Times New Roman" w:hAnsi="Times New Roman"/>
          <w:sz w:val="24"/>
        </w:rPr>
      </w:pPr>
      <w:r>
        <w:rPr>
          <w:rFonts w:ascii="Times New Roman" w:hAnsi="Times New Roman"/>
          <w:sz w:val="24"/>
        </w:rPr>
        <w:t>19. Înregistrarea petiţiilor, precum şi a răspunsurilor la acestea, se efectuează în registrele corespondenţei de intrare şi ieşire, ţinute în mod obligatoriu de către participantul profesionist.</w:t>
      </w:r>
    </w:p>
    <w:p w:rsidR="001E6636" w:rsidRDefault="001E6636">
      <w:pPr>
        <w:spacing w:after="160" w:line="259" w:lineRule="auto"/>
        <w:jc w:val="both"/>
        <w:rPr>
          <w:rFonts w:ascii="Times New Roman" w:hAnsi="Times New Roman"/>
          <w:sz w:val="24"/>
        </w:rPr>
      </w:pPr>
      <w:r>
        <w:rPr>
          <w:rFonts w:ascii="Times New Roman" w:hAnsi="Times New Roman"/>
          <w:sz w:val="24"/>
        </w:rPr>
        <w:t>20. Scrierea în registre se face astfel, încît să excludă posibilitatea de a fi radiată (ştearsă, distrusă) în mod mecanic, chimic sau în orice alt mod, fără a lăsa urme vizibile ale radierii (ştergerii, distrugerii).</w:t>
      </w:r>
    </w:p>
    <w:p w:rsidR="001E6636" w:rsidRDefault="001E6636">
      <w:pPr>
        <w:spacing w:after="160" w:line="259" w:lineRule="auto"/>
        <w:jc w:val="both"/>
        <w:rPr>
          <w:rFonts w:ascii="Times New Roman" w:hAnsi="Times New Roman"/>
          <w:sz w:val="24"/>
        </w:rPr>
      </w:pPr>
      <w:r>
        <w:rPr>
          <w:rFonts w:ascii="Times New Roman" w:hAnsi="Times New Roman"/>
          <w:sz w:val="24"/>
        </w:rPr>
        <w:t>21. Înscrierile în registre trebuie să fie vizibile şi clare.</w:t>
      </w:r>
    </w:p>
    <w:p w:rsidR="001E6636" w:rsidRDefault="001E6636">
      <w:pPr>
        <w:spacing w:after="160" w:line="259" w:lineRule="auto"/>
        <w:jc w:val="both"/>
        <w:rPr>
          <w:rFonts w:ascii="Times New Roman" w:hAnsi="Times New Roman"/>
          <w:sz w:val="24"/>
        </w:rPr>
      </w:pPr>
      <w:r>
        <w:rPr>
          <w:rFonts w:ascii="Times New Roman" w:hAnsi="Times New Roman"/>
          <w:sz w:val="24"/>
        </w:rPr>
        <w:t>22. După înregistrarea petiţiilor conform cerinţelor stabilite, angajatul desemnat le înaintează conducătorului participantului profesionist.</w:t>
      </w:r>
    </w:p>
    <w:p w:rsidR="001E6636" w:rsidRDefault="001E6636">
      <w:pPr>
        <w:spacing w:after="160" w:line="259" w:lineRule="auto"/>
        <w:jc w:val="both"/>
        <w:rPr>
          <w:rFonts w:ascii="Times New Roman" w:hAnsi="Times New Roman"/>
          <w:sz w:val="24"/>
        </w:rPr>
      </w:pPr>
      <w:r>
        <w:rPr>
          <w:rFonts w:ascii="Times New Roman" w:hAnsi="Times New Roman"/>
          <w:sz w:val="24"/>
        </w:rPr>
        <w:t>23. Conducătorul participantului profesionist indică pe rezoluţie persoana responsabilă de soluţionarea petiţiei.</w:t>
      </w:r>
    </w:p>
    <w:p w:rsidR="001E6636" w:rsidRDefault="001E6636">
      <w:pPr>
        <w:spacing w:after="160" w:line="259" w:lineRule="auto"/>
        <w:jc w:val="center"/>
        <w:rPr>
          <w:rFonts w:ascii="Times New Roman" w:hAnsi="Times New Roman"/>
          <w:b/>
          <w:sz w:val="24"/>
        </w:rPr>
      </w:pPr>
    </w:p>
    <w:p w:rsidR="001E6636" w:rsidRDefault="001E6636">
      <w:pPr>
        <w:spacing w:after="160" w:line="259" w:lineRule="auto"/>
        <w:jc w:val="center"/>
        <w:rPr>
          <w:rFonts w:ascii="Times New Roman" w:hAnsi="Times New Roman"/>
          <w:sz w:val="24"/>
        </w:rPr>
      </w:pPr>
      <w:r>
        <w:rPr>
          <w:rFonts w:ascii="Times New Roman" w:hAnsi="Times New Roman"/>
          <w:b/>
          <w:sz w:val="24"/>
        </w:rPr>
        <w:t>IV. EXAMINAREA PETIŢIILOR</w:t>
      </w:r>
    </w:p>
    <w:p w:rsidR="001E6636" w:rsidRDefault="001E6636">
      <w:pPr>
        <w:spacing w:after="160" w:line="259" w:lineRule="auto"/>
        <w:jc w:val="both"/>
        <w:rPr>
          <w:rFonts w:ascii="Times New Roman" w:hAnsi="Times New Roman"/>
          <w:sz w:val="24"/>
        </w:rPr>
      </w:pPr>
      <w:r>
        <w:rPr>
          <w:rFonts w:ascii="Times New Roman" w:hAnsi="Times New Roman"/>
          <w:sz w:val="24"/>
        </w:rPr>
        <w:t>24. Responsabil de soluţionarea petiţiei este persoana nominalizată prima în rezoluţie.</w:t>
      </w:r>
    </w:p>
    <w:p w:rsidR="001E6636" w:rsidRDefault="001E6636">
      <w:pPr>
        <w:spacing w:after="160" w:line="259" w:lineRule="auto"/>
        <w:jc w:val="both"/>
        <w:rPr>
          <w:rFonts w:ascii="Times New Roman" w:hAnsi="Times New Roman"/>
          <w:sz w:val="24"/>
        </w:rPr>
      </w:pPr>
      <w:r>
        <w:rPr>
          <w:rFonts w:ascii="Times New Roman" w:hAnsi="Times New Roman"/>
          <w:sz w:val="24"/>
        </w:rPr>
        <w:t>25. Lipsa persoanei responsabile (concediu medical, concediu social, concediu anual, deplasare etc.) nu scuteşte participantul profesionist de examinarea în termen şi adecvată a petiţiilor.</w:t>
      </w:r>
    </w:p>
    <w:p w:rsidR="001E6636" w:rsidRDefault="001E6636">
      <w:pPr>
        <w:spacing w:after="160" w:line="259" w:lineRule="auto"/>
        <w:jc w:val="both"/>
        <w:rPr>
          <w:rFonts w:ascii="Times New Roman" w:hAnsi="Times New Roman"/>
          <w:sz w:val="24"/>
        </w:rPr>
      </w:pPr>
      <w:r>
        <w:rPr>
          <w:rFonts w:ascii="Times New Roman" w:hAnsi="Times New Roman"/>
          <w:sz w:val="24"/>
        </w:rPr>
        <w:t>26. În cazul în care prin petiţie sînt sesizate anumite aspecte din activitatea unui angajat al participantului profesionist, aceasta nu poate fi examinată de persoana în cauză sau de către un subordonat al acesteia.</w:t>
      </w:r>
    </w:p>
    <w:p w:rsidR="001E6636" w:rsidRDefault="001E6636">
      <w:pPr>
        <w:spacing w:after="160" w:line="259" w:lineRule="auto"/>
        <w:jc w:val="both"/>
        <w:rPr>
          <w:rFonts w:ascii="Times New Roman" w:hAnsi="Times New Roman"/>
          <w:sz w:val="24"/>
        </w:rPr>
      </w:pPr>
      <w:r>
        <w:rPr>
          <w:rFonts w:ascii="Times New Roman" w:hAnsi="Times New Roman"/>
          <w:sz w:val="24"/>
        </w:rPr>
        <w:t>27. Pentru soluţionarea legală a petiţiilor ce le sînt adresate, conducătorii participanţilor profesionişti vor dispune măsuri de cercetare şi analiză detaliată a tuturor aspectelor sesizate.</w:t>
      </w:r>
    </w:p>
    <w:p w:rsidR="001E6636" w:rsidRDefault="001E6636">
      <w:pPr>
        <w:spacing w:after="160" w:line="259" w:lineRule="auto"/>
        <w:jc w:val="both"/>
        <w:rPr>
          <w:rFonts w:ascii="Times New Roman" w:hAnsi="Times New Roman"/>
          <w:sz w:val="24"/>
        </w:rPr>
      </w:pPr>
      <w:r>
        <w:rPr>
          <w:rFonts w:ascii="Times New Roman" w:hAnsi="Times New Roman"/>
          <w:sz w:val="24"/>
        </w:rPr>
        <w:t>28. În răspuns se va indica, în mod obligatoriu, temeiul legal al soluţiei adoptate.</w:t>
      </w:r>
    </w:p>
    <w:p w:rsidR="001E6636" w:rsidRDefault="001E6636">
      <w:pPr>
        <w:spacing w:after="160" w:line="259" w:lineRule="auto"/>
        <w:jc w:val="both"/>
        <w:rPr>
          <w:rFonts w:ascii="Times New Roman" w:hAnsi="Times New Roman"/>
          <w:sz w:val="24"/>
        </w:rPr>
      </w:pPr>
      <w:r>
        <w:rPr>
          <w:rFonts w:ascii="Times New Roman" w:hAnsi="Times New Roman"/>
          <w:sz w:val="24"/>
        </w:rPr>
        <w:t>29. Petiţiile se examinează în termen maxim de 30 de zile, iar cele care nu necesită o studiere şi examinare suplimentară – fără întîrziere sau în termen de 15 zile de la data înregistrării.</w:t>
      </w:r>
    </w:p>
    <w:p w:rsidR="001E6636" w:rsidRDefault="001E6636">
      <w:pPr>
        <w:spacing w:after="160" w:line="259" w:lineRule="auto"/>
        <w:jc w:val="both"/>
        <w:rPr>
          <w:rFonts w:ascii="Times New Roman" w:hAnsi="Times New Roman"/>
          <w:sz w:val="24"/>
        </w:rPr>
      </w:pPr>
      <w:r>
        <w:rPr>
          <w:rFonts w:ascii="Times New Roman" w:hAnsi="Times New Roman"/>
          <w:sz w:val="24"/>
        </w:rPr>
        <w:t>30. Termenul de examinare a petiţiei curge din momentul înregistrării acesteia de către participantul profesionist.</w:t>
      </w:r>
    </w:p>
    <w:p w:rsidR="001E6636" w:rsidRDefault="001E6636">
      <w:pPr>
        <w:spacing w:after="160" w:line="259" w:lineRule="auto"/>
        <w:jc w:val="both"/>
        <w:rPr>
          <w:rFonts w:ascii="Times New Roman" w:hAnsi="Times New Roman"/>
          <w:sz w:val="24"/>
        </w:rPr>
      </w:pPr>
      <w:r>
        <w:rPr>
          <w:rFonts w:ascii="Times New Roman" w:hAnsi="Times New Roman"/>
          <w:sz w:val="24"/>
        </w:rPr>
        <w:t>31. Petiţiile remise de Comisia Naţională a Pieţei Financiare se examinează în termen de cel mult 15 zile din momentul recepţionării acestora, iar în cazul în care se va indica un alt termen acesta urmează să fie respectat.</w:t>
      </w:r>
    </w:p>
    <w:p w:rsidR="001E6636" w:rsidRDefault="001E6636">
      <w:pPr>
        <w:spacing w:after="160" w:line="259" w:lineRule="auto"/>
        <w:jc w:val="both"/>
        <w:rPr>
          <w:rFonts w:ascii="Times New Roman" w:hAnsi="Times New Roman"/>
          <w:sz w:val="24"/>
        </w:rPr>
      </w:pPr>
      <w:r>
        <w:rPr>
          <w:rFonts w:ascii="Times New Roman" w:hAnsi="Times New Roman"/>
          <w:sz w:val="24"/>
        </w:rPr>
        <w:t>32. În cazuri deosebite termenul de examinare poate fi prelungit de către conducătorul participantului profesionist cu cel mult o lună, fapt despre care este informat petiţionarul.</w:t>
      </w:r>
    </w:p>
    <w:p w:rsidR="001E6636" w:rsidRDefault="001E6636">
      <w:pPr>
        <w:spacing w:after="160" w:line="259" w:lineRule="auto"/>
        <w:jc w:val="both"/>
        <w:rPr>
          <w:rFonts w:ascii="Times New Roman" w:hAnsi="Times New Roman"/>
          <w:sz w:val="24"/>
        </w:rPr>
      </w:pPr>
      <w:r>
        <w:rPr>
          <w:rFonts w:ascii="Times New Roman" w:hAnsi="Times New Roman"/>
          <w:sz w:val="24"/>
        </w:rPr>
        <w:t>33. Petiţiile, prin care se solicită o informaţie confidenţială, se examinează în termenele stabilite în legislaţia privind accesul la informaţie.</w:t>
      </w:r>
    </w:p>
    <w:p w:rsidR="001E6636" w:rsidRDefault="001E6636">
      <w:pPr>
        <w:spacing w:after="160" w:line="259" w:lineRule="auto"/>
        <w:jc w:val="both"/>
        <w:rPr>
          <w:rFonts w:ascii="Times New Roman" w:hAnsi="Times New Roman"/>
          <w:sz w:val="24"/>
        </w:rPr>
      </w:pPr>
      <w:r>
        <w:rPr>
          <w:rFonts w:ascii="Times New Roman" w:hAnsi="Times New Roman"/>
          <w:sz w:val="24"/>
        </w:rPr>
        <w:t>34. Răspunsul la petiţie se perfectează în 2 exemplare originale şi se prezintă pentru semnare conducătorului participantului profesionist într-un termen care ar asigura posibilitatea verificării lui şi introducerii unor modificări sau completări.</w:t>
      </w:r>
    </w:p>
    <w:p w:rsidR="001E6636" w:rsidRDefault="001E6636">
      <w:pPr>
        <w:spacing w:after="160" w:line="259" w:lineRule="auto"/>
        <w:jc w:val="both"/>
        <w:rPr>
          <w:rFonts w:ascii="Times New Roman" w:hAnsi="Times New Roman"/>
          <w:sz w:val="24"/>
        </w:rPr>
      </w:pPr>
      <w:r>
        <w:rPr>
          <w:rFonts w:ascii="Times New Roman" w:hAnsi="Times New Roman"/>
          <w:sz w:val="24"/>
        </w:rPr>
        <w:t xml:space="preserve">35. Răspunsurile se semnează de către conducătorul participantului profesionist ori de persoana împuternicită de acesta. </w:t>
      </w:r>
    </w:p>
    <w:p w:rsidR="001E6636" w:rsidRDefault="001E6636">
      <w:pPr>
        <w:spacing w:after="160" w:line="259" w:lineRule="auto"/>
        <w:jc w:val="both"/>
        <w:rPr>
          <w:rFonts w:ascii="Times New Roman" w:hAnsi="Times New Roman"/>
          <w:sz w:val="24"/>
        </w:rPr>
      </w:pPr>
      <w:r>
        <w:rPr>
          <w:rFonts w:ascii="Times New Roman" w:hAnsi="Times New Roman"/>
          <w:sz w:val="24"/>
        </w:rPr>
        <w:t>36. Rezultatul examinării se aduce obligatoriu la cunoştinţa petiţionarului pe suport de hîrtie, iar la solicitarea acestuia – în formă electronică sau verbală, cu consemnările corespunzătoare în Registrul de evidenţă a corespondenţei de ieşire.</w:t>
      </w:r>
    </w:p>
    <w:p w:rsidR="001E6636" w:rsidRDefault="001E6636">
      <w:pPr>
        <w:spacing w:after="160" w:line="259" w:lineRule="auto"/>
        <w:jc w:val="both"/>
        <w:rPr>
          <w:rFonts w:ascii="Times New Roman" w:hAnsi="Times New Roman"/>
          <w:sz w:val="24"/>
        </w:rPr>
      </w:pPr>
      <w:r>
        <w:rPr>
          <w:rFonts w:ascii="Times New Roman" w:hAnsi="Times New Roman"/>
          <w:sz w:val="24"/>
        </w:rPr>
        <w:t>37. Dovada recepţionării răspunsului de către petiţionar se pune în sarcina participantului profesionist (semnătura petiţionarului, avizul de recepţie a scrisorii sau alte mijloace ce confirmă primirea răspunsului).</w:t>
      </w:r>
    </w:p>
    <w:p w:rsidR="001E6636" w:rsidRDefault="001E6636">
      <w:pPr>
        <w:spacing w:after="160" w:line="259" w:lineRule="auto"/>
        <w:jc w:val="both"/>
        <w:rPr>
          <w:rFonts w:ascii="Times New Roman" w:hAnsi="Times New Roman"/>
          <w:sz w:val="24"/>
        </w:rPr>
      </w:pPr>
      <w:r>
        <w:rPr>
          <w:rFonts w:ascii="Times New Roman" w:hAnsi="Times New Roman"/>
          <w:sz w:val="24"/>
        </w:rPr>
        <w:t>38. În cazul în care petiţionarul nu este de acord cu răspunsul parvenit din partea participantului profesionist sau a primit refuz neîntemeiat de a examina petiţia, sau se tergiversează examinarea acesteia, el este în drept să se adreseze Comisiei Naţionale a Pieţei Financiare şi/sau instanţei de judecată.</w:t>
      </w:r>
    </w:p>
    <w:p w:rsidR="001E6636" w:rsidRDefault="001E6636">
      <w:pPr>
        <w:spacing w:after="160" w:line="259" w:lineRule="auto"/>
        <w:jc w:val="center"/>
        <w:rPr>
          <w:rFonts w:ascii="Times New Roman" w:hAnsi="Times New Roman"/>
          <w:sz w:val="24"/>
        </w:rPr>
      </w:pPr>
      <w:r>
        <w:rPr>
          <w:rFonts w:ascii="Times New Roman" w:hAnsi="Times New Roman"/>
          <w:b/>
          <w:sz w:val="24"/>
        </w:rPr>
        <w:t>V. SUPRAVEGHEREA ŞI RĂSPUNDEREA ÎN CADRUL EXAMINĂRII PETIŢIILOR</w:t>
      </w:r>
    </w:p>
    <w:p w:rsidR="001E6636" w:rsidRDefault="001E6636">
      <w:pPr>
        <w:spacing w:after="160" w:line="259" w:lineRule="auto"/>
        <w:jc w:val="both"/>
        <w:rPr>
          <w:rFonts w:ascii="Times New Roman" w:hAnsi="Times New Roman"/>
          <w:sz w:val="24"/>
        </w:rPr>
      </w:pPr>
      <w:r>
        <w:rPr>
          <w:rFonts w:ascii="Times New Roman" w:hAnsi="Times New Roman"/>
          <w:sz w:val="24"/>
        </w:rPr>
        <w:t>39. Petiţiile, răspunsurile la acestea şi documentele cu privire la examinarea petiţiilor se păstrează în dosare separate.</w:t>
      </w:r>
    </w:p>
    <w:p w:rsidR="001E6636" w:rsidRDefault="001E6636">
      <w:pPr>
        <w:spacing w:after="160" w:line="259" w:lineRule="auto"/>
        <w:jc w:val="both"/>
        <w:rPr>
          <w:rFonts w:ascii="Times New Roman" w:hAnsi="Times New Roman"/>
          <w:sz w:val="24"/>
        </w:rPr>
      </w:pPr>
      <w:r>
        <w:rPr>
          <w:rFonts w:ascii="Times New Roman" w:hAnsi="Times New Roman"/>
          <w:sz w:val="24"/>
        </w:rPr>
        <w:t>40. Conducătorul participantului profesionist, precum şi angajaţii acestuia, sînt obligaţi să asigure integritatea documentelor cu privire la examinarea petiţiilor.</w:t>
      </w:r>
    </w:p>
    <w:p w:rsidR="001E6636" w:rsidRDefault="001E6636">
      <w:pPr>
        <w:spacing w:after="160" w:line="259" w:lineRule="auto"/>
        <w:jc w:val="both"/>
        <w:rPr>
          <w:rFonts w:ascii="Times New Roman" w:hAnsi="Times New Roman"/>
          <w:sz w:val="24"/>
        </w:rPr>
      </w:pPr>
      <w:r>
        <w:rPr>
          <w:rFonts w:ascii="Times New Roman" w:hAnsi="Times New Roman"/>
          <w:sz w:val="24"/>
        </w:rPr>
        <w:t>41. Dosarele cu materialele examinării petiţiilor se păstrează în birourile de serviciu sau în încăperi amenajate special pentru arhivă, dotate cu mijloace adecvate de păstrare, pentru a preveni degradarea, distrugerea sau sustragerea documentelor.</w:t>
      </w:r>
    </w:p>
    <w:p w:rsidR="001E6636" w:rsidRDefault="001E6636">
      <w:pPr>
        <w:spacing w:after="160" w:line="259" w:lineRule="auto"/>
        <w:jc w:val="both"/>
        <w:rPr>
          <w:rFonts w:ascii="Times New Roman" w:hAnsi="Times New Roman"/>
          <w:sz w:val="24"/>
        </w:rPr>
      </w:pPr>
      <w:r>
        <w:rPr>
          <w:rFonts w:ascii="Times New Roman" w:hAnsi="Times New Roman"/>
          <w:sz w:val="24"/>
        </w:rPr>
        <w:t>42. Conducătorul participantului profesionist este obligat să evalueze semestrial activitatea de soluţionare a petiţiilor şi să aplice sancţiuni corespunzătoare în cazul depistării unor nereguli, precum şi să întreprindă măsuri în vederea înlăturării cauzelor şi condiţiilor care generează petiţii întemeiate.</w:t>
      </w:r>
    </w:p>
    <w:p w:rsidR="001E6636" w:rsidRDefault="001E6636">
      <w:pPr>
        <w:spacing w:after="160" w:line="259" w:lineRule="auto"/>
        <w:jc w:val="both"/>
        <w:rPr>
          <w:rFonts w:ascii="Times New Roman" w:hAnsi="Times New Roman"/>
          <w:sz w:val="24"/>
        </w:rPr>
      </w:pPr>
      <w:r>
        <w:rPr>
          <w:rFonts w:ascii="Times New Roman" w:hAnsi="Times New Roman"/>
          <w:sz w:val="24"/>
        </w:rPr>
        <w:t>43. Conducătorul participantului profesionist este direct responsabil de buna organizare şi desfăşurare a activităţii de primire, examinare şi rezolvare a petiţiilor, precum şi de legalitatea soluţiilor şi comunicarea acestora în termen optim.</w:t>
      </w:r>
    </w:p>
    <w:p w:rsidR="001E6636" w:rsidRDefault="001E6636">
      <w:pPr>
        <w:spacing w:after="160" w:line="259" w:lineRule="auto"/>
        <w:jc w:val="both"/>
        <w:rPr>
          <w:rFonts w:ascii="Times New Roman" w:hAnsi="Times New Roman"/>
          <w:sz w:val="24"/>
        </w:rPr>
      </w:pPr>
      <w:r>
        <w:rPr>
          <w:rFonts w:ascii="Times New Roman" w:hAnsi="Times New Roman"/>
          <w:sz w:val="24"/>
        </w:rPr>
        <w:t>44. Încălcarea prevederilor prezentului Regulament de către participantul profesionist se sancţionează în conformitate cu legislaţia în vigoare.</w:t>
      </w:r>
    </w:p>
    <w:p w:rsidR="001E6636" w:rsidRDefault="001E6636">
      <w:pPr>
        <w:spacing w:after="160" w:line="259" w:lineRule="auto"/>
        <w:jc w:val="both"/>
        <w:rPr>
          <w:rFonts w:ascii="Times New Roman" w:hAnsi="Times New Roman"/>
          <w:sz w:val="24"/>
        </w:rPr>
      </w:pPr>
      <w:r>
        <w:rPr>
          <w:rFonts w:ascii="Times New Roman" w:hAnsi="Times New Roman"/>
          <w:sz w:val="24"/>
        </w:rPr>
        <w:t>45. Situaţiile apărute în legătură cu organizarea şi desfăşurarea activităţilor în cadrul examinării petiţiilor de către participantul profesionist, neprevăzute de prezentul Regulament, vor fi soluţionate/reglementate în conformitate cu legislaţia în vigoare.</w:t>
      </w:r>
    </w:p>
    <w:sectPr w:rsidR="001E6636" w:rsidSect="007D429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Ё¬?"/>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1F41"/>
    <w:rsid w:val="00030530"/>
    <w:rsid w:val="00074D07"/>
    <w:rsid w:val="0008162A"/>
    <w:rsid w:val="00124454"/>
    <w:rsid w:val="001E2058"/>
    <w:rsid w:val="001E6636"/>
    <w:rsid w:val="002E686B"/>
    <w:rsid w:val="00650F8F"/>
    <w:rsid w:val="0072394E"/>
    <w:rsid w:val="007D4292"/>
    <w:rsid w:val="007F3C5E"/>
    <w:rsid w:val="009316EF"/>
    <w:rsid w:val="00A04739"/>
    <w:rsid w:val="00B91F41"/>
    <w:rsid w:val="00CC481C"/>
    <w:rsid w:val="00CF703B"/>
    <w:rsid w:val="00D27E0A"/>
    <w:rsid w:val="00F64B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C5E"/>
    <w:pPr>
      <w:spacing w:after="200" w:line="276" w:lineRule="auto"/>
    </w:pPr>
    <w:rPr>
      <w:lang w:val="ro-RO"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E20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20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2769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5</Pages>
  <Words>1708</Words>
  <Characters>9741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serghei16091985@gmail.com</cp:lastModifiedBy>
  <cp:revision>10</cp:revision>
  <cp:lastPrinted>2020-11-25T14:30:00Z</cp:lastPrinted>
  <dcterms:created xsi:type="dcterms:W3CDTF">2020-11-25T09:00:00Z</dcterms:created>
  <dcterms:modified xsi:type="dcterms:W3CDTF">2021-06-12T07:11:00Z</dcterms:modified>
</cp:coreProperties>
</file>